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  <w:lang w:eastAsia="zh-CN"/>
        </w:rPr>
        <w:t>竞争性磋商</w:t>
      </w:r>
      <w:r>
        <w:rPr>
          <w:rFonts w:hint="eastAsia" w:ascii="宋体" w:hAnsi="宋体"/>
          <w:b/>
          <w:sz w:val="28"/>
        </w:rPr>
        <w:t>公告</w:t>
      </w:r>
      <w:bookmarkStart w:id="2" w:name="_GoBack"/>
      <w:bookmarkEnd w:id="2"/>
    </w:p>
    <w:p>
      <w:pPr>
        <w:pStyle w:val="2"/>
      </w:pPr>
    </w:p>
    <w:p>
      <w:pPr>
        <w:pStyle w:val="7"/>
        <w:keepNext w:val="0"/>
        <w:keepLines w:val="0"/>
        <w:pageBreakBefore w:val="0"/>
        <w:tabs>
          <w:tab w:val="clear" w:pos="1260"/>
        </w:tabs>
        <w:kinsoku/>
        <w:wordWrap/>
        <w:overflowPunct/>
        <w:topLinePunct w:val="0"/>
        <w:autoSpaceDE/>
        <w:autoSpaceDN/>
        <w:bidi w:val="0"/>
        <w:snapToGrid w:val="0"/>
        <w:spacing w:before="0" w:beforeAutospacing="0" w:line="360" w:lineRule="auto"/>
        <w:ind w:left="-100" w:leftChars="-50" w:right="-388" w:rightChars="-194"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根据相关规定，</w:t>
      </w:r>
      <w:r>
        <w:rPr>
          <w:rFonts w:hint="eastAsia"/>
          <w:color w:val="auto"/>
          <w:sz w:val="21"/>
          <w:szCs w:val="21"/>
          <w:lang w:eastAsia="zh-CN"/>
        </w:rPr>
        <w:t>上海晨省企业管理咨询有限公司</w:t>
      </w:r>
      <w:r>
        <w:rPr>
          <w:rFonts w:hint="eastAsia"/>
          <w:color w:val="auto"/>
          <w:sz w:val="21"/>
          <w:szCs w:val="21"/>
        </w:rPr>
        <w:t>受</w:t>
      </w:r>
      <w:r>
        <w:rPr>
          <w:rFonts w:hint="eastAsia"/>
          <w:color w:val="auto"/>
          <w:sz w:val="21"/>
          <w:szCs w:val="21"/>
          <w:lang w:eastAsia="zh-CN"/>
        </w:rPr>
        <w:t>上海市青浦区教育综合管理中心</w:t>
      </w:r>
      <w:r>
        <w:rPr>
          <w:rFonts w:hint="eastAsia"/>
          <w:color w:val="auto"/>
          <w:sz w:val="21"/>
          <w:szCs w:val="21"/>
        </w:rPr>
        <w:t>委托，就</w:t>
      </w:r>
      <w:r>
        <w:rPr>
          <w:rFonts w:hint="eastAsia"/>
          <w:color w:val="auto"/>
          <w:sz w:val="21"/>
          <w:szCs w:val="21"/>
          <w:lang w:eastAsia="zh-CN"/>
        </w:rPr>
        <w:t>校园视频监控管理平台设备运维服务</w:t>
      </w:r>
      <w:r>
        <w:rPr>
          <w:rFonts w:hint="eastAsia" w:ascii="宋体" w:hAnsi="宋体"/>
          <w:color w:val="auto"/>
          <w:sz w:val="21"/>
          <w:szCs w:val="21"/>
        </w:rPr>
        <w:t>采购项目</w:t>
      </w:r>
      <w:r>
        <w:rPr>
          <w:rFonts w:hint="eastAsia"/>
          <w:color w:val="auto"/>
          <w:sz w:val="21"/>
          <w:szCs w:val="21"/>
        </w:rPr>
        <w:t>进行</w:t>
      </w:r>
      <w:r>
        <w:rPr>
          <w:rFonts w:hint="eastAsia"/>
          <w:color w:val="auto"/>
          <w:sz w:val="21"/>
          <w:szCs w:val="21"/>
          <w:lang w:eastAsia="zh-CN"/>
        </w:rPr>
        <w:t>竞争性磋商</w:t>
      </w:r>
      <w:r>
        <w:rPr>
          <w:rFonts w:hint="eastAsia"/>
          <w:color w:val="auto"/>
          <w:sz w:val="21"/>
          <w:szCs w:val="21"/>
        </w:rPr>
        <w:t>采购。</w:t>
      </w:r>
    </w:p>
    <w:p>
      <w:pPr>
        <w:pStyle w:val="7"/>
        <w:keepNext w:val="0"/>
        <w:keepLines w:val="0"/>
        <w:pageBreakBefore w:val="0"/>
        <w:tabs>
          <w:tab w:val="clear" w:pos="1260"/>
        </w:tabs>
        <w:kinsoku/>
        <w:wordWrap/>
        <w:overflowPunct/>
        <w:topLinePunct w:val="0"/>
        <w:autoSpaceDE/>
        <w:autoSpaceDN/>
        <w:bidi w:val="0"/>
        <w:snapToGrid w:val="0"/>
        <w:spacing w:before="0" w:beforeAutospacing="0" w:line="360" w:lineRule="auto"/>
        <w:ind w:left="-100" w:leftChars="-50" w:right="-388" w:rightChars="-194" w:firstLine="420" w:firstLineChars="200"/>
        <w:rPr>
          <w:rFonts w:hint="eastAsia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rPr>
          <w:rFonts w:hint="eastAsia" w:ascii="宋体" w:hAnsi="宋体"/>
          <w:b/>
          <w:bCs/>
          <w:color w:val="auto"/>
          <w:sz w:val="21"/>
          <w:szCs w:val="21"/>
        </w:rPr>
      </w:pPr>
      <w:r>
        <w:rPr>
          <w:rFonts w:hint="eastAsia" w:ascii="宋体" w:hAnsi="宋体"/>
          <w:b/>
          <w:bCs/>
          <w:color w:val="auto"/>
          <w:sz w:val="21"/>
          <w:szCs w:val="21"/>
        </w:rPr>
        <w:t>项目概况</w:t>
      </w:r>
      <w:r>
        <w:rPr>
          <w:rFonts w:hint="eastAsia" w:ascii="宋体" w:hAnsi="宋体"/>
          <w:b/>
          <w:bCs/>
          <w:color w:val="auto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425" w:leftChars="0" w:hanging="425" w:firstLineChars="0"/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 w:val="21"/>
          <w:szCs w:val="21"/>
          <w:highlight w:val="none"/>
          <w:lang w:eastAsia="zh-CN"/>
        </w:rPr>
        <w:t>项目编号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：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  <w:t>CX210510065623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425" w:leftChars="0" w:hanging="425" w:firstLineChars="0"/>
        <w:rPr>
          <w:rFonts w:hint="eastAsia" w:ascii="宋体" w:hAnsi="宋体" w:cs="Times New Roman"/>
          <w:color w:val="auto"/>
          <w:sz w:val="21"/>
          <w:szCs w:val="21"/>
        </w:rPr>
      </w:pPr>
      <w:r>
        <w:rPr>
          <w:rFonts w:hint="eastAsia" w:ascii="宋体" w:hAnsi="宋体" w:cs="Times New Roman"/>
          <w:color w:val="auto"/>
          <w:sz w:val="21"/>
          <w:szCs w:val="21"/>
        </w:rPr>
        <w:t>项目</w:t>
      </w:r>
      <w:r>
        <w:rPr>
          <w:rFonts w:hint="eastAsia" w:ascii="宋体" w:hAnsi="宋体" w:cs="Times New Roman"/>
          <w:color w:val="auto"/>
          <w:sz w:val="21"/>
          <w:szCs w:val="21"/>
          <w:lang w:val="en-US" w:eastAsia="zh-CN"/>
        </w:rPr>
        <w:t>名称</w:t>
      </w:r>
      <w:r>
        <w:rPr>
          <w:rFonts w:hint="eastAsia" w:ascii="宋体" w:hAnsi="宋体" w:cs="Times New Roman"/>
          <w:color w:val="auto"/>
          <w:sz w:val="21"/>
          <w:szCs w:val="21"/>
        </w:rPr>
        <w:t>：</w:t>
      </w:r>
      <w:r>
        <w:rPr>
          <w:rFonts w:hint="eastAsia"/>
          <w:color w:val="auto"/>
          <w:sz w:val="21"/>
          <w:szCs w:val="21"/>
          <w:lang w:eastAsia="zh-CN"/>
        </w:rPr>
        <w:t>上海市青浦区教育综合管理中心</w:t>
      </w:r>
      <w:r>
        <w:rPr>
          <w:rFonts w:hint="eastAsia" w:ascii="宋体" w:hAnsi="宋体" w:cs="Times New Roman"/>
          <w:color w:val="auto"/>
          <w:sz w:val="21"/>
          <w:szCs w:val="21"/>
          <w:highlight w:val="none"/>
          <w:lang w:eastAsia="zh-CN"/>
        </w:rPr>
        <w:t>校园视频监控管理平台设备运维服务采购项目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425" w:leftChars="0" w:hanging="425" w:firstLineChars="0"/>
        <w:rPr>
          <w:rFonts w:hAnsi="宋体"/>
          <w:color w:val="auto"/>
          <w:sz w:val="21"/>
          <w:szCs w:val="21"/>
        </w:rPr>
      </w:pPr>
      <w:r>
        <w:rPr>
          <w:rFonts w:hint="eastAsia" w:ascii="宋体" w:hAnsi="宋体" w:cs="Times New Roman"/>
          <w:color w:val="auto"/>
          <w:sz w:val="21"/>
          <w:szCs w:val="21"/>
          <w:lang w:val="en-US" w:eastAsia="zh-CN"/>
        </w:rPr>
        <w:t>采购</w:t>
      </w:r>
      <w:r>
        <w:rPr>
          <w:rFonts w:hint="eastAsia" w:ascii="宋体" w:hAnsi="宋体" w:cs="Times New Roman"/>
          <w:color w:val="auto"/>
          <w:sz w:val="21"/>
          <w:szCs w:val="21"/>
        </w:rPr>
        <w:t>内容：</w:t>
      </w:r>
      <w:r>
        <w:rPr>
          <w:rFonts w:hint="eastAsia" w:hAnsi="宋体"/>
          <w:color w:val="auto"/>
          <w:sz w:val="21"/>
          <w:szCs w:val="21"/>
          <w:lang w:eastAsia="zh-CN"/>
        </w:rPr>
        <w:t>校园视频监控管理平台设备运维服务</w:t>
      </w:r>
      <w:r>
        <w:rPr>
          <w:rFonts w:hint="eastAsia" w:hAnsi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425" w:leftChars="0" w:hanging="425" w:firstLineChars="0"/>
        <w:rPr>
          <w:rFonts w:hint="eastAsia" w:hAnsi="宋体"/>
          <w:sz w:val="21"/>
          <w:szCs w:val="21"/>
          <w:highlight w:val="none"/>
        </w:rPr>
      </w:pPr>
      <w:r>
        <w:rPr>
          <w:rFonts w:hint="eastAsia" w:hAnsi="宋体"/>
          <w:sz w:val="21"/>
          <w:szCs w:val="21"/>
          <w:highlight w:val="none"/>
        </w:rPr>
        <w:t>交付地址：</w:t>
      </w:r>
      <w:r>
        <w:rPr>
          <w:rFonts w:hint="eastAsia" w:hAnsi="宋体"/>
          <w:sz w:val="21"/>
          <w:szCs w:val="21"/>
          <w:highlight w:val="none"/>
          <w:lang w:val="en-US" w:eastAsia="zh-CN"/>
        </w:rPr>
        <w:t>青浦区范围内，</w:t>
      </w:r>
      <w:r>
        <w:rPr>
          <w:rFonts w:hint="eastAsia" w:hAnsi="宋体"/>
          <w:color w:val="auto"/>
          <w:sz w:val="21"/>
          <w:szCs w:val="21"/>
          <w:highlight w:val="none"/>
          <w:lang w:val="en-US" w:eastAsia="zh-CN"/>
        </w:rPr>
        <w:t>上海市青浦区教育综合管理中心指定地点</w:t>
      </w:r>
      <w:r>
        <w:rPr>
          <w:rFonts w:hint="eastAsia" w:hAnsi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425" w:leftChars="0" w:hanging="425" w:firstLineChars="0"/>
        <w:rPr>
          <w:rFonts w:hint="eastAsia" w:hAnsi="宋体"/>
          <w:sz w:val="21"/>
          <w:szCs w:val="21"/>
          <w:highlight w:val="none"/>
        </w:rPr>
      </w:pPr>
      <w:r>
        <w:rPr>
          <w:rFonts w:hint="eastAsia" w:hAnsi="宋体"/>
          <w:sz w:val="21"/>
          <w:szCs w:val="21"/>
          <w:highlight w:val="none"/>
          <w:lang w:val="en-US" w:eastAsia="zh-CN"/>
        </w:rPr>
        <w:t>服务期限</w:t>
      </w:r>
      <w:r>
        <w:rPr>
          <w:rFonts w:hint="eastAsia" w:hAnsi="宋体"/>
          <w:sz w:val="21"/>
          <w:szCs w:val="21"/>
          <w:highlight w:val="none"/>
        </w:rPr>
        <w:t>：合同签订</w:t>
      </w:r>
      <w:r>
        <w:rPr>
          <w:rFonts w:hint="eastAsia" w:hAnsi="宋体"/>
          <w:color w:val="auto"/>
          <w:sz w:val="21"/>
          <w:szCs w:val="21"/>
          <w:highlight w:val="none"/>
        </w:rPr>
        <w:t>后</w:t>
      </w:r>
      <w:r>
        <w:rPr>
          <w:rFonts w:hint="eastAsia" w:hAnsi="宋体"/>
          <w:color w:val="auto"/>
          <w:sz w:val="21"/>
          <w:szCs w:val="21"/>
          <w:highlight w:val="none"/>
          <w:lang w:eastAsia="zh-CN"/>
        </w:rPr>
        <w:t>一年度</w:t>
      </w:r>
      <w:r>
        <w:rPr>
          <w:rFonts w:hint="eastAsia" w:hAnsi="宋体"/>
          <w:color w:val="auto"/>
          <w:sz w:val="21"/>
          <w:szCs w:val="21"/>
          <w:highlight w:val="none"/>
          <w:lang w:val="en-US" w:eastAsia="zh-CN"/>
        </w:rPr>
        <w:t>内</w:t>
      </w:r>
      <w:r>
        <w:rPr>
          <w:rFonts w:hint="eastAsia" w:hAnsi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425" w:leftChars="0" w:hanging="425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采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购预算金额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59.396万元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425" w:leftChars="0" w:hanging="425" w:firstLine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采购项目需要落实的</w:t>
      </w:r>
      <w:r>
        <w:rPr>
          <w:rFonts w:hint="eastAsia"/>
          <w:sz w:val="21"/>
          <w:szCs w:val="21"/>
          <w:lang w:val="en-US" w:eastAsia="zh-CN"/>
        </w:rPr>
        <w:t>相关</w:t>
      </w:r>
      <w:r>
        <w:rPr>
          <w:rFonts w:hint="eastAsia"/>
          <w:sz w:val="21"/>
          <w:szCs w:val="21"/>
        </w:rPr>
        <w:t>政策情况：贯彻现行国家</w:t>
      </w:r>
      <w:r>
        <w:rPr>
          <w:rFonts w:hint="eastAsia"/>
          <w:sz w:val="21"/>
          <w:szCs w:val="21"/>
          <w:lang w:val="en-US" w:eastAsia="zh-CN"/>
        </w:rPr>
        <w:t>相关</w:t>
      </w:r>
      <w:r>
        <w:rPr>
          <w:rFonts w:hint="eastAsia"/>
          <w:sz w:val="21"/>
          <w:szCs w:val="21"/>
        </w:rPr>
        <w:t>采购政策。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rPr>
          <w:rFonts w:hint="eastAsia" w:ascii="宋体" w:hAnsi="宋体" w:cs="Times New Roman"/>
          <w:b/>
          <w:bCs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合格的供应商应具备的</w:t>
      </w:r>
      <w:r>
        <w:rPr>
          <w:rFonts w:hint="eastAsia" w:ascii="宋体" w:hAnsi="宋体" w:cs="Times New Roman"/>
          <w:b/>
          <w:bCs/>
          <w:sz w:val="21"/>
          <w:szCs w:val="21"/>
          <w:lang w:val="en-US" w:eastAsia="zh-CN"/>
        </w:rPr>
        <w:t>以下</w:t>
      </w:r>
      <w:r>
        <w:rPr>
          <w:rFonts w:hint="eastAsia" w:ascii="宋体" w:hAnsi="宋体" w:cs="Times New Roman"/>
          <w:b/>
          <w:bCs/>
          <w:sz w:val="21"/>
          <w:szCs w:val="21"/>
        </w:rPr>
        <w:t>资格条件：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425" w:leftChars="0" w:hanging="425" w:firstLineChars="0"/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具有《营业执照》</w:t>
      </w:r>
      <w:r>
        <w:rPr>
          <w:rFonts w:hint="eastAsia" w:ascii="宋体" w:hAnsi="宋体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具有相应的经营范围</w:t>
      </w:r>
      <w:r>
        <w:rPr>
          <w:rFonts w:hint="eastAsia" w:ascii="宋体" w:hAnsi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425" w:leftChars="0" w:hanging="425" w:firstLineChars="0"/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未被列入“信用中国网站”(www.creditchina.gov.cn)</w:t>
      </w:r>
      <w:r>
        <w:rPr>
          <w:rFonts w:hint="eastAsia" w:ascii="宋体" w:hAnsi="宋体"/>
          <w:color w:val="auto"/>
          <w:sz w:val="21"/>
          <w:szCs w:val="21"/>
          <w:highlight w:val="none"/>
          <w:lang w:eastAsia="zh-CN"/>
        </w:rPr>
        <w:t>失信被执行人名单、重大税收违法案件当事人名单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1"/>
          <w:szCs w:val="21"/>
          <w:highlight w:val="none"/>
        </w:rPr>
      </w:pPr>
      <w:r>
        <w:rPr>
          <w:rFonts w:hint="eastAsia" w:ascii="宋体" w:hAnsi="宋体"/>
          <w:sz w:val="21"/>
          <w:szCs w:val="21"/>
          <w:highlight w:val="none"/>
        </w:rPr>
        <w:t>具有完善的售后服务体系、具有良好的商业信誉和健全的财务会计制度；具有履行合同所必须的设备和专业技术能力。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rPr>
          <w:rFonts w:hint="default" w:ascii="宋体" w:hAnsi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sz w:val="21"/>
          <w:szCs w:val="21"/>
          <w:lang w:val="en-US" w:eastAsia="zh-CN"/>
        </w:rPr>
        <w:t>获取</w:t>
      </w:r>
      <w:r>
        <w:rPr>
          <w:rFonts w:hint="eastAsia" w:ascii="宋体" w:hAnsi="宋体" w:cs="Times New Roman"/>
          <w:b/>
          <w:bCs/>
          <w:sz w:val="21"/>
          <w:szCs w:val="21"/>
          <w:lang w:eastAsia="zh-CN"/>
        </w:rPr>
        <w:t>竞争性磋商</w:t>
      </w:r>
      <w:r>
        <w:rPr>
          <w:rFonts w:hint="eastAsia" w:ascii="宋体" w:hAnsi="宋体" w:cs="Times New Roman"/>
          <w:b/>
          <w:bCs/>
          <w:sz w:val="21"/>
          <w:szCs w:val="21"/>
        </w:rPr>
        <w:t>文件</w:t>
      </w:r>
      <w:r>
        <w:rPr>
          <w:rFonts w:hint="eastAsia" w:ascii="宋体" w:hAnsi="宋体" w:cs="Times New Roman"/>
          <w:b/>
          <w:bCs/>
          <w:sz w:val="21"/>
          <w:szCs w:val="21"/>
          <w:lang w:val="en-US" w:eastAsia="zh-CN"/>
        </w:rPr>
        <w:t>需提交的材料：</w:t>
      </w:r>
    </w:p>
    <w:p>
      <w:pPr>
        <w:numPr>
          <w:ilvl w:val="0"/>
          <w:numId w:val="4"/>
        </w:numPr>
        <w:spacing w:line="360" w:lineRule="auto"/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</w:pPr>
      <w:bookmarkStart w:id="0" w:name="_Toc152338921"/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响应单位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营业执照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原件；</w:t>
      </w:r>
      <w:bookmarkEnd w:id="0"/>
      <w:bookmarkStart w:id="1" w:name="_Toc152338924"/>
    </w:p>
    <w:p>
      <w:pPr>
        <w:numPr>
          <w:ilvl w:val="0"/>
          <w:numId w:val="4"/>
        </w:numPr>
        <w:spacing w:line="360" w:lineRule="auto"/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“信用中国网站”（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eastAsia="zh-CN"/>
        </w:rPr>
        <w:t>失信被执行人名单、重大税收违法案件当事人名单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）信用查询截图（原件的彩色扫描件）；</w:t>
      </w:r>
    </w:p>
    <w:p>
      <w:pPr>
        <w:numPr>
          <w:ilvl w:val="0"/>
          <w:numId w:val="4"/>
        </w:numPr>
        <w:spacing w:line="360" w:lineRule="auto"/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法定代表人的授权书及被授权代表人的身份证原件；</w:t>
      </w:r>
    </w:p>
    <w:bookmarkEnd w:id="1"/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rPr>
          <w:rFonts w:hint="eastAsia" w:ascii="宋体" w:hAnsi="宋体" w:cs="Times New Roman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sz w:val="21"/>
          <w:szCs w:val="21"/>
          <w:lang w:val="en-US" w:eastAsia="zh-CN"/>
        </w:rPr>
        <w:t>获取磋商文件其他说明：</w:t>
      </w:r>
    </w:p>
    <w:p>
      <w:pPr>
        <w:spacing w:line="360" w:lineRule="auto"/>
        <w:ind w:left="420" w:firstLine="420" w:firstLineChars="200"/>
        <w:rPr>
          <w:rFonts w:hint="default" w:ascii="宋体" w:hAnsi="宋体" w:cs="Times New Roman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highlight w:val="none"/>
        </w:rPr>
        <w:t>对上述采购信息感兴趣的供应商可于</w:t>
      </w:r>
      <w:r>
        <w:rPr>
          <w:rFonts w:hint="eastAsia" w:ascii="宋体" w:hAnsi="宋体"/>
          <w:b/>
          <w:bCs/>
          <w:color w:val="FF0000"/>
          <w:sz w:val="21"/>
          <w:szCs w:val="21"/>
          <w:highlight w:val="none"/>
          <w:lang w:eastAsia="zh-CN"/>
        </w:rPr>
        <w:t>2021-05-10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</w:rPr>
        <w:t>至</w:t>
      </w:r>
      <w:r>
        <w:rPr>
          <w:rFonts w:hint="eastAsia" w:ascii="宋体" w:hAnsi="宋体"/>
          <w:b/>
          <w:bCs/>
          <w:color w:val="FF0000"/>
          <w:sz w:val="21"/>
          <w:szCs w:val="21"/>
          <w:highlight w:val="none"/>
          <w:lang w:eastAsia="zh-CN"/>
        </w:rPr>
        <w:t>2021-05-14</w:t>
      </w:r>
      <w:r>
        <w:rPr>
          <w:rFonts w:hint="eastAsia"/>
          <w:b/>
          <w:color w:val="auto"/>
          <w:sz w:val="21"/>
          <w:szCs w:val="21"/>
          <w:highlight w:val="none"/>
        </w:rPr>
        <w:t>（</w:t>
      </w:r>
      <w:r>
        <w:rPr>
          <w:rFonts w:hint="eastAsia"/>
          <w:color w:val="auto"/>
          <w:sz w:val="21"/>
          <w:szCs w:val="21"/>
          <w:highlight w:val="none"/>
        </w:rPr>
        <w:t>法定节假日除外</w:t>
      </w:r>
      <w:r>
        <w:rPr>
          <w:rFonts w:hint="eastAsia"/>
          <w:b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上午9：30—11：30，下午13：30-16：00</w:t>
      </w:r>
      <w:r>
        <w:rPr>
          <w:rFonts w:hint="eastAsia"/>
          <w:color w:val="auto"/>
          <w:sz w:val="21"/>
          <w:szCs w:val="21"/>
          <w:highlight w:val="none"/>
        </w:rPr>
        <w:t>携带上述资质原件及复印件（加盖单位公章）一套至上海市青浦区盈港路453号（港隆国际大厦）501室报名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，符合上述条件并且证照核实通过的供应商可领取竞争性磋商文件。磋</w:t>
      </w:r>
      <w:r>
        <w:rPr>
          <w:rFonts w:hint="eastAsia" w:ascii="宋体" w:hAnsi="宋体" w:cs="Times New Roman"/>
          <w:b w:val="0"/>
          <w:bCs w:val="0"/>
          <w:color w:val="auto"/>
          <w:sz w:val="21"/>
          <w:szCs w:val="21"/>
          <w:lang w:val="en-US" w:eastAsia="zh-CN"/>
        </w:rPr>
        <w:t>商文件300/份，售后不退。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rPr>
          <w:rFonts w:hint="eastAsia" w:ascii="宋体" w:hAnsi="宋体" w:cs="Times New Roman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sz w:val="21"/>
          <w:szCs w:val="21"/>
          <w:lang w:val="en-US" w:eastAsia="zh-CN"/>
        </w:rPr>
        <w:t>响应文件提交：</w:t>
      </w:r>
    </w:p>
    <w:p>
      <w:pPr>
        <w:pStyle w:val="4"/>
        <w:ind w:firstLine="420"/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  <w:t>截止时间：</w:t>
      </w:r>
      <w:r>
        <w:rPr>
          <w:rFonts w:hint="eastAsia" w:ascii="宋体" w:hAnsi="宋体" w:cs="Times New Roman"/>
          <w:b w:val="0"/>
          <w:bCs w:val="0"/>
          <w:color w:val="auto"/>
          <w:sz w:val="21"/>
          <w:szCs w:val="21"/>
          <w:lang w:val="en-US" w:eastAsia="zh-CN"/>
        </w:rPr>
        <w:t>2021-05-20   10:00:00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  <w:t>（北京时间）</w:t>
      </w:r>
    </w:p>
    <w:p>
      <w:pPr>
        <w:pStyle w:val="4"/>
        <w:ind w:firstLine="420"/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  <w:t>地点：青浦区盈港路453号（港隆国际大厦）501室；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  <w:t>响应单位法定代表人或法定代表人委托人进场签到（请携带法定代表人证明书或法定代表委托书及相应身份证明文件、纸质响应文件（壹正贰副），响应单位其他人员将被拒绝入场，代理机构将于报价截止时间前半小时开始接收响应文件，逾期收到或不符合规定的响应文件恕不接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宋体" w:hAnsi="宋体" w:cs="Times New Roman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sz w:val="21"/>
          <w:szCs w:val="21"/>
          <w:lang w:val="en-US" w:eastAsia="zh-CN"/>
        </w:rPr>
        <w:t>响应文件开启：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  <w:t>开启时间：</w:t>
      </w:r>
      <w:r>
        <w:rPr>
          <w:rFonts w:hint="eastAsia" w:ascii="宋体" w:hAnsi="宋体" w:cs="Times New Roman"/>
          <w:b w:val="0"/>
          <w:bCs w:val="0"/>
          <w:color w:val="auto"/>
          <w:sz w:val="21"/>
          <w:szCs w:val="21"/>
          <w:lang w:val="en-US" w:eastAsia="zh-CN"/>
        </w:rPr>
        <w:t>2021-05-20   10:00:00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  <w:t>（北京时间）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cs="Times New Roman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  <w:t>地点：青浦区盈港路453号（港隆国际大厦）501室；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宋体" w:hAnsi="宋体" w:cs="Times New Roman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sz w:val="21"/>
          <w:szCs w:val="21"/>
          <w:lang w:val="en-US" w:eastAsia="zh-CN"/>
        </w:rPr>
        <w:t>磋商时间：另行通知</w:t>
      </w:r>
      <w:r>
        <w:rPr>
          <w:rFonts w:hint="eastAsia" w:ascii="宋体" w:hAnsi="宋体" w:cs="Times New Roman"/>
          <w:b w:val="0"/>
          <w:bCs w:val="0"/>
          <w:color w:val="auto"/>
          <w:sz w:val="21"/>
          <w:szCs w:val="21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cs="Times New Roman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 w:bidi="ar-SA"/>
        </w:rPr>
        <w:t>地点：青浦区盈港路453号（港隆国际大厦）501室；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宋体" w:hAnsi="宋体" w:cs="Times New Roman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sz w:val="21"/>
          <w:szCs w:val="21"/>
          <w:lang w:val="en-US" w:eastAsia="zh-CN"/>
        </w:rPr>
        <w:t>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360" w:lineRule="auto"/>
        <w:rPr>
          <w:rFonts w:hint="eastAsia" w:ascii="宋体" w:hAnsi="宋体" w:cs="宋体"/>
          <w:color w:val="auto"/>
          <w:spacing w:val="-6"/>
          <w:kern w:val="0"/>
          <w:sz w:val="21"/>
          <w:szCs w:val="21"/>
        </w:rPr>
      </w:pPr>
      <w:r>
        <w:rPr>
          <w:rFonts w:hint="eastAsia" w:ascii="宋体" w:hAnsi="宋体" w:cs="宋体"/>
          <w:spacing w:val="-6"/>
          <w:kern w:val="0"/>
          <w:sz w:val="21"/>
          <w:szCs w:val="21"/>
        </w:rPr>
        <w:t>采购人</w:t>
      </w:r>
      <w:r>
        <w:rPr>
          <w:rFonts w:hint="eastAsia" w:ascii="宋体" w:hAnsi="宋体" w:cs="宋体"/>
          <w:color w:val="auto"/>
          <w:spacing w:val="-6"/>
          <w:kern w:val="0"/>
          <w:sz w:val="21"/>
          <w:szCs w:val="21"/>
        </w:rPr>
        <w:t xml:space="preserve">：上海市青浦区教育综合管理中心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360" w:lineRule="auto"/>
        <w:rPr>
          <w:rFonts w:hint="eastAsia" w:ascii="宋体" w:hAnsi="宋体" w:cs="宋体"/>
          <w:color w:val="auto"/>
          <w:spacing w:val="-6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spacing w:val="-6"/>
          <w:kern w:val="0"/>
          <w:sz w:val="21"/>
          <w:szCs w:val="21"/>
        </w:rPr>
        <w:t>地址：</w:t>
      </w:r>
      <w:r>
        <w:rPr>
          <w:rFonts w:ascii="宋体" w:hAnsi="宋体" w:cs="宋体"/>
          <w:color w:val="auto"/>
          <w:spacing w:val="-6"/>
          <w:kern w:val="0"/>
          <w:sz w:val="21"/>
          <w:szCs w:val="21"/>
        </w:rPr>
        <w:t>青浦区北淀浦河路1000号</w:t>
      </w:r>
      <w:r>
        <w:rPr>
          <w:rFonts w:hint="eastAsia" w:ascii="宋体" w:hAnsi="宋体" w:cs="宋体"/>
          <w:color w:val="auto"/>
          <w:spacing w:val="-6"/>
          <w:kern w:val="0"/>
          <w:sz w:val="21"/>
          <w:szCs w:val="21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360" w:lineRule="auto"/>
        <w:rPr>
          <w:rFonts w:hint="eastAsia" w:ascii="宋体" w:hAnsi="宋体" w:cs="宋体"/>
          <w:color w:val="auto"/>
          <w:spacing w:val="-6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spacing w:val="-6"/>
          <w:kern w:val="0"/>
          <w:sz w:val="21"/>
          <w:szCs w:val="21"/>
        </w:rPr>
        <w:t>联系人：</w:t>
      </w:r>
      <w:r>
        <w:rPr>
          <w:rFonts w:hint="eastAsia" w:ascii="宋体" w:hAnsi="宋体" w:cs="宋体"/>
          <w:color w:val="auto"/>
          <w:spacing w:val="-6"/>
          <w:kern w:val="0"/>
          <w:sz w:val="21"/>
          <w:szCs w:val="21"/>
          <w:lang w:val="en-US" w:eastAsia="zh-CN"/>
        </w:rPr>
        <w:t>姚老师</w:t>
      </w:r>
      <w:r>
        <w:rPr>
          <w:rFonts w:hint="eastAsia" w:ascii="宋体" w:hAnsi="宋体" w:cs="宋体"/>
          <w:color w:val="auto"/>
          <w:spacing w:val="-6"/>
          <w:kern w:val="0"/>
          <w:sz w:val="21"/>
          <w:szCs w:val="21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360" w:lineRule="auto"/>
        <w:rPr>
          <w:rFonts w:ascii="宋体" w:hAnsi="宋体" w:cs="宋体"/>
          <w:color w:val="0000FF"/>
          <w:spacing w:val="-6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spacing w:val="-6"/>
          <w:kern w:val="0"/>
          <w:sz w:val="21"/>
          <w:szCs w:val="21"/>
        </w:rPr>
        <w:t>联系方式：021-</w:t>
      </w:r>
      <w:r>
        <w:rPr>
          <w:rFonts w:ascii="宋体" w:hAnsi="宋体" w:cs="宋体"/>
          <w:color w:val="auto"/>
          <w:spacing w:val="-6"/>
          <w:kern w:val="0"/>
          <w:sz w:val="21"/>
          <w:szCs w:val="21"/>
        </w:rPr>
        <w:t>59859950</w:t>
      </w:r>
      <w:r>
        <w:rPr>
          <w:rFonts w:hint="eastAsia" w:ascii="宋体" w:hAnsi="宋体" w:cs="宋体"/>
          <w:color w:val="auto"/>
          <w:spacing w:val="-6"/>
          <w:kern w:val="0"/>
          <w:sz w:val="21"/>
          <w:szCs w:val="21"/>
        </w:rPr>
        <w:t xml:space="preserve">       </w:t>
      </w:r>
      <w:r>
        <w:rPr>
          <w:rFonts w:hint="eastAsia" w:ascii="宋体" w:hAnsi="宋体" w:cs="宋体"/>
          <w:color w:val="0000FF"/>
          <w:spacing w:val="-6"/>
          <w:kern w:val="0"/>
          <w:sz w:val="21"/>
          <w:szCs w:val="21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360" w:lineRule="auto"/>
        <w:rPr>
          <w:rFonts w:hint="eastAsia" w:ascii="宋体" w:hAnsi="宋体" w:cs="宋体"/>
          <w:spacing w:val="-6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pacing w:val="-6"/>
          <w:kern w:val="0"/>
          <w:sz w:val="21"/>
          <w:szCs w:val="21"/>
        </w:rPr>
        <w:t>采购代理机构：上海晨省企业管理咨询有限公司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>
        <w:rPr>
          <w:rFonts w:hint="eastAsia" w:ascii="宋体" w:hAnsi="宋体" w:cs="宋体"/>
          <w:spacing w:val="-6"/>
          <w:kern w:val="0"/>
          <w:sz w:val="21"/>
          <w:szCs w:val="21"/>
        </w:rPr>
        <w:t>地址：青浦区盈港路453号（港隆国际大厦）501室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>
        <w:rPr>
          <w:rFonts w:hint="eastAsia" w:ascii="宋体" w:hAnsi="宋体" w:cs="宋体"/>
          <w:spacing w:val="-6"/>
          <w:kern w:val="0"/>
          <w:sz w:val="21"/>
          <w:szCs w:val="21"/>
        </w:rPr>
        <w:t>邮编：201700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jc w:val="left"/>
        <w:rPr>
          <w:rFonts w:hint="default" w:ascii="宋体" w:hAnsi="宋体" w:eastAsia="宋体" w:cs="宋体"/>
          <w:spacing w:val="-6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spacing w:val="-6"/>
          <w:kern w:val="0"/>
          <w:sz w:val="21"/>
          <w:szCs w:val="21"/>
        </w:rPr>
        <w:t>联系人：</w:t>
      </w:r>
      <w:r>
        <w:rPr>
          <w:rFonts w:hint="eastAsia" w:ascii="宋体" w:hAnsi="宋体" w:cs="宋体"/>
          <w:spacing w:val="-6"/>
          <w:kern w:val="0"/>
          <w:sz w:val="21"/>
          <w:szCs w:val="21"/>
          <w:lang w:val="en-US" w:eastAsia="zh-CN"/>
        </w:rPr>
        <w:t>常老师</w:t>
      </w:r>
    </w:p>
    <w:p>
      <w:pPr>
        <w:pStyle w:val="3"/>
        <w:spacing w:line="360" w:lineRule="auto"/>
        <w:ind w:left="0" w:leftChars="0" w:right="1470"/>
        <w:rPr>
          <w:sz w:val="21"/>
          <w:szCs w:val="21"/>
        </w:rPr>
      </w:pPr>
      <w:r>
        <w:rPr>
          <w:rFonts w:hint="eastAsia" w:ascii="宋体" w:hAnsi="宋体" w:cs="宋体"/>
          <w:color w:val="auto"/>
          <w:spacing w:val="-6"/>
          <w:kern w:val="0"/>
          <w:sz w:val="21"/>
          <w:szCs w:val="21"/>
        </w:rPr>
        <w:t>联系方式：</w:t>
      </w:r>
      <w:r>
        <w:rPr>
          <w:rFonts w:hint="eastAsia" w:ascii="宋体" w:hAnsi="宋体" w:cs="宋体"/>
          <w:sz w:val="21"/>
          <w:szCs w:val="21"/>
        </w:rPr>
        <w:t>021-</w:t>
      </w:r>
      <w:r>
        <w:rPr>
          <w:rFonts w:hint="eastAsia" w:ascii="宋体" w:hAnsi="宋体" w:cs="宋体"/>
          <w:spacing w:val="-6"/>
          <w:sz w:val="21"/>
          <w:szCs w:val="21"/>
        </w:rPr>
        <w:t>39808056</w:t>
      </w:r>
      <w:r>
        <w:rPr>
          <w:rFonts w:hint="eastAsia" w:ascii="宋体" w:hAnsi="宋体" w:cs="宋体"/>
          <w:spacing w:val="-6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</w:rPr>
        <w:t>18117533655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AB77B6"/>
    <w:multiLevelType w:val="singleLevel"/>
    <w:tmpl w:val="B3AB77B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5C5127C"/>
    <w:multiLevelType w:val="singleLevel"/>
    <w:tmpl w:val="E5C512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10041CB"/>
    <w:multiLevelType w:val="singleLevel"/>
    <w:tmpl w:val="210041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6DFE4C3"/>
    <w:multiLevelType w:val="singleLevel"/>
    <w:tmpl w:val="36DFE4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A3A2A"/>
    <w:rsid w:val="02BA3A2A"/>
    <w:rsid w:val="0C440907"/>
    <w:rsid w:val="1163430E"/>
    <w:rsid w:val="1196479F"/>
    <w:rsid w:val="239839CA"/>
    <w:rsid w:val="255674FC"/>
    <w:rsid w:val="3F4116FB"/>
    <w:rsid w:val="60533E0B"/>
    <w:rsid w:val="73E4131F"/>
    <w:rsid w:val="777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40" w:lineRule="exact"/>
      <w:jc w:val="center"/>
      <w:outlineLvl w:val="0"/>
    </w:pPr>
    <w:rPr>
      <w:rFonts w:ascii="宋体" w:hAnsi="宋体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customStyle="1" w:styleId="7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widowControl w:val="0"/>
      <w:tabs>
        <w:tab w:val="left" w:pos="1260"/>
      </w:tabs>
      <w:adjustRightInd w:val="0"/>
      <w:spacing w:before="240"/>
      <w:ind w:left="1260" w:hanging="420"/>
      <w:textAlignment w:val="baseline"/>
      <w:outlineLvl w:val="1"/>
    </w:pPr>
    <w:rPr>
      <w:rFonts w:ascii="宋体" w:hAnsi="宋体" w:cs="宋体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2021-05-10T01:09:00Z</dcterms:created>
  <dc:creator>Aiquliu</dc:creator>
  <cp:lastModifiedBy>Administrator</cp:lastModifiedBy>
  <cp:lastPrinted>2021-05-10T02:59:00Z</cp:lastPrinted>
  <dcterms:modified xsi:type="dcterms:W3CDTF">2021-05-10T07:40:41Z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A1417CC4493A45A096A205E5709004FF</vt:lpwstr>
  </property>
</Properties>
</file>